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黑龙江大学东语学院</w:t>
      </w:r>
    </w:p>
    <w:p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2018年全国硕士研究生招生复试工作细则</w:t>
      </w:r>
    </w:p>
    <w:p>
      <w:pPr>
        <w:jc w:val="center"/>
        <w:rPr>
          <w:b/>
          <w:sz w:val="28"/>
          <w:szCs w:val="28"/>
        </w:rPr>
      </w:pPr>
    </w:p>
    <w:p>
      <w:pPr>
        <w:spacing w:line="276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根据教育部《2018年全国硕士研究生招生工作管理规定》和《黑龙江大学2018年硕士研究生招生复试录取工作方案》的规定，结合学院实际，就本院2018年硕士研究生复试工作规定如下：</w:t>
      </w:r>
    </w:p>
    <w:p>
      <w:pPr>
        <w:spacing w:line="276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一、组织领导</w:t>
      </w:r>
    </w:p>
    <w:p>
      <w:pPr>
        <w:spacing w:line="276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成立院2018年硕士生复试工作领导小组，全面负责复试工作的组织实施。</w:t>
      </w:r>
    </w:p>
    <w:p>
      <w:pPr>
        <w:tabs>
          <w:tab w:val="left" w:pos="2410"/>
        </w:tabs>
        <w:spacing w:line="276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组长：赵恩忠</w:t>
      </w:r>
    </w:p>
    <w:p>
      <w:pPr>
        <w:spacing w:line="276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成员：赵志刚、孙颖、宋英华、李太福</w:t>
      </w:r>
    </w:p>
    <w:p>
      <w:pPr>
        <w:spacing w:line="276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二、  复试原则</w:t>
      </w:r>
    </w:p>
    <w:p>
      <w:pPr>
        <w:spacing w:line="276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1. 按学校复试方案公布如下信息：</w:t>
      </w:r>
    </w:p>
    <w:p>
      <w:pPr>
        <w:spacing w:line="276" w:lineRule="auto"/>
        <w:ind w:firstLine="720" w:firstLineChars="300"/>
        <w:rPr>
          <w:sz w:val="24"/>
          <w:szCs w:val="24"/>
        </w:rPr>
      </w:pPr>
      <w:r>
        <w:rPr>
          <w:rFonts w:hint="eastAsia"/>
          <w:sz w:val="24"/>
          <w:szCs w:val="24"/>
        </w:rPr>
        <w:t>进入复试的初试成绩要求：参见学校复试方案</w:t>
      </w:r>
    </w:p>
    <w:p>
      <w:pPr>
        <w:spacing w:line="276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2. 日语语言文学、日语笔试、亚非语言文学（韩国语）是合格复试。</w:t>
      </w:r>
    </w:p>
    <w:p>
      <w:pPr>
        <w:spacing w:line="276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三、复试内容及分值</w:t>
      </w:r>
    </w:p>
    <w:p>
      <w:pPr>
        <w:spacing w:line="276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1.复试主要包括三项内容，即专业素养考核、外国语听力及口语测试、思想政治素质和品德考核。</w:t>
      </w:r>
    </w:p>
    <w:p>
      <w:pPr>
        <w:spacing w:line="276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2.日语语言文学复试成绩满分300分。其中专业素养考核成绩满分180分，外语听说能力测试部分满分90分，思想政治考核部分满分30分。凡复试总成绩低于180分或思想政治考核不合格的，即为复试不合格，不予录取。</w:t>
      </w:r>
    </w:p>
    <w:p>
      <w:pPr>
        <w:spacing w:line="276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3.日语笔译复试成绩满分400分。其中专业素养考核成绩满分280分，外语听说能力测试部分满分90分，思想政治考核部分满分30分。</w:t>
      </w:r>
    </w:p>
    <w:p>
      <w:pPr>
        <w:spacing w:line="276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4.同等学力考生的加试科目中的任何一门考试成绩低于60分，即为不合格，不予录取。</w:t>
      </w:r>
    </w:p>
    <w:p>
      <w:pPr>
        <w:spacing w:line="276" w:lineRule="auto"/>
        <w:ind w:firstLine="480" w:firstLineChars="200"/>
        <w:rPr>
          <w:sz w:val="24"/>
          <w:szCs w:val="24"/>
          <w:highlight w:val="none"/>
        </w:rPr>
      </w:pPr>
      <w:r>
        <w:rPr>
          <w:rFonts w:hint="eastAsia"/>
          <w:sz w:val="24"/>
          <w:szCs w:val="24"/>
        </w:rPr>
        <w:t>5.初试成绩和复试成绩相加得出考生入学考试总成绩。录取时分专业按入学考试总成绩排序</w:t>
      </w:r>
      <w:r>
        <w:rPr>
          <w:rFonts w:hint="eastAsia"/>
          <w:sz w:val="24"/>
          <w:szCs w:val="24"/>
          <w:highlight w:val="none"/>
        </w:rPr>
        <w:t>，按国家下达的招生计划录取。对总成绩相同且必须作出取舍的，初试成绩高者优先。调剂考生按复试成绩从高到低排序。</w:t>
      </w:r>
    </w:p>
    <w:p>
      <w:pPr>
        <w:spacing w:line="276" w:lineRule="auto"/>
        <w:ind w:firstLine="480" w:firstLineChars="200"/>
        <w:rPr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</w:rPr>
        <w:t>6.学校认为有必要时，可对考生再次复试。</w:t>
      </w:r>
    </w:p>
    <w:p>
      <w:pPr>
        <w:spacing w:line="276" w:lineRule="auto"/>
        <w:ind w:firstLine="480" w:firstLineChars="200"/>
        <w:rPr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</w:rPr>
        <w:t>四、复试程序</w:t>
      </w:r>
      <w:r>
        <w:rPr>
          <w:rFonts w:hint="eastAsia"/>
          <w:sz w:val="24"/>
          <w:szCs w:val="24"/>
          <w:highlight w:val="none"/>
        </w:rPr>
        <w:br w:type="textWrapping"/>
      </w:r>
      <w:r>
        <w:rPr>
          <w:rFonts w:hint="eastAsia"/>
          <w:sz w:val="24"/>
          <w:szCs w:val="24"/>
          <w:highlight w:val="none"/>
        </w:rPr>
        <w:t>　　（一）资格审查</w:t>
      </w:r>
    </w:p>
    <w:p>
      <w:pPr>
        <w:spacing w:line="276" w:lineRule="auto"/>
        <w:ind w:firstLine="480" w:firstLineChars="200"/>
        <w:rPr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</w:rPr>
        <w:t>1. 资格审查时间和地点</w:t>
      </w:r>
    </w:p>
    <w:p>
      <w:pPr>
        <w:spacing w:line="276" w:lineRule="auto"/>
        <w:ind w:firstLine="480" w:firstLineChars="200"/>
        <w:rPr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</w:rPr>
        <w:t>时  间：2018-3-29（周4）12:00</w:t>
      </w:r>
    </w:p>
    <w:p>
      <w:pPr>
        <w:spacing w:line="276" w:lineRule="auto"/>
        <w:ind w:firstLine="480" w:firstLineChars="200"/>
        <w:rPr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</w:rPr>
        <w:t>地  点：主楼D321</w:t>
      </w:r>
    </w:p>
    <w:p>
      <w:pPr>
        <w:spacing w:line="276" w:lineRule="auto"/>
        <w:ind w:firstLine="480" w:firstLineChars="200"/>
        <w:rPr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</w:rPr>
        <w:t>2. 资格审查提交的材料</w:t>
      </w:r>
    </w:p>
    <w:p>
      <w:pPr>
        <w:spacing w:line="276" w:lineRule="auto"/>
        <w:ind w:firstLine="480" w:firstLineChars="200"/>
        <w:rPr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</w:rPr>
        <w:t>资格审查时考生须提交以下材料和证件：</w:t>
      </w:r>
    </w:p>
    <w:p>
      <w:pPr>
        <w:spacing w:line="276" w:lineRule="auto"/>
        <w:ind w:firstLine="480" w:firstLineChars="200"/>
        <w:rPr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</w:rPr>
        <w:t>（1）有效身份证原件和复印件（正反面）</w:t>
      </w:r>
    </w:p>
    <w:p>
      <w:pPr>
        <w:spacing w:line="276" w:lineRule="auto"/>
        <w:ind w:firstLine="480" w:firstLineChars="200"/>
        <w:rPr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</w:rPr>
        <w:t>（2）学籍学历认证原件和复印件</w:t>
      </w:r>
    </w:p>
    <w:p>
      <w:pPr>
        <w:spacing w:line="276" w:lineRule="auto"/>
        <w:ind w:firstLine="480" w:firstLineChars="200"/>
        <w:rPr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</w:rPr>
        <w:t>（3）思想政治考核表</w:t>
      </w:r>
    </w:p>
    <w:p>
      <w:pPr>
        <w:spacing w:line="276" w:lineRule="auto"/>
        <w:ind w:firstLine="480" w:firstLineChars="200"/>
        <w:rPr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</w:rPr>
        <w:t>（二）复试考试安排</w:t>
      </w:r>
    </w:p>
    <w:tbl>
      <w:tblPr>
        <w:tblStyle w:val="5"/>
        <w:tblW w:w="8837" w:type="dxa"/>
        <w:jc w:val="center"/>
        <w:tblInd w:w="0" w:type="dxa"/>
        <w:tblBorders>
          <w:top w:val="single" w:color="DDDDDD" w:sz="6" w:space="0"/>
          <w:left w:val="single" w:color="DDDDDD" w:sz="6" w:space="0"/>
          <w:bottom w:val="single" w:color="DDDDDD" w:sz="6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34"/>
        <w:gridCol w:w="1560"/>
        <w:gridCol w:w="1984"/>
        <w:gridCol w:w="2759"/>
      </w:tblGrid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34" w:type="dxa"/>
            <w:tcBorders>
              <w:bottom w:val="single" w:color="E5E5E5" w:sz="6" w:space="0"/>
              <w:right w:val="single" w:color="E5E5E5" w:sz="6" w:space="0"/>
            </w:tcBorders>
            <w:tcMar>
              <w:top w:w="0" w:type="dxa"/>
              <w:left w:w="150" w:type="dxa"/>
              <w:bottom w:w="0" w:type="dxa"/>
              <w:right w:w="150" w:type="dxa"/>
            </w:tcMar>
          </w:tcPr>
          <w:p>
            <w:pPr>
              <w:widowControl/>
              <w:spacing w:line="450" w:lineRule="atLeast"/>
              <w:jc w:val="center"/>
              <w:rPr>
                <w:rFonts w:ascii="微软雅黑" w:hAnsi="微软雅黑" w:eastAsia="微软雅黑" w:cs="宋体"/>
                <w:color w:val="33333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微软雅黑" w:hAnsi="微软雅黑" w:eastAsia="微软雅黑" w:cs="宋体"/>
                <w:color w:val="333333"/>
                <w:kern w:val="0"/>
                <w:sz w:val="24"/>
                <w:szCs w:val="24"/>
                <w:highlight w:val="none"/>
              </w:rPr>
              <w:t>专业名称</w:t>
            </w:r>
          </w:p>
        </w:tc>
        <w:tc>
          <w:tcPr>
            <w:tcW w:w="1560" w:type="dxa"/>
            <w:tcBorders>
              <w:bottom w:val="single" w:color="E5E5E5" w:sz="6" w:space="0"/>
              <w:right w:val="single" w:color="E5E5E5" w:sz="6" w:space="0"/>
            </w:tcBorders>
            <w:tcMar>
              <w:top w:w="0" w:type="dxa"/>
              <w:left w:w="150" w:type="dxa"/>
              <w:bottom w:w="0" w:type="dxa"/>
              <w:right w:w="150" w:type="dxa"/>
            </w:tcMar>
          </w:tcPr>
          <w:p>
            <w:pPr>
              <w:widowControl/>
              <w:spacing w:line="450" w:lineRule="atLeast"/>
              <w:jc w:val="center"/>
              <w:rPr>
                <w:rFonts w:ascii="微软雅黑" w:hAnsi="微软雅黑" w:eastAsia="微软雅黑" w:cs="宋体"/>
                <w:color w:val="33333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微软雅黑" w:hAnsi="微软雅黑" w:eastAsia="微软雅黑" w:cs="宋体"/>
                <w:color w:val="333333"/>
                <w:kern w:val="0"/>
                <w:sz w:val="24"/>
                <w:szCs w:val="24"/>
                <w:highlight w:val="none"/>
              </w:rPr>
              <w:t>考试科目</w:t>
            </w:r>
          </w:p>
        </w:tc>
        <w:tc>
          <w:tcPr>
            <w:tcW w:w="1984" w:type="dxa"/>
            <w:tcBorders>
              <w:bottom w:val="single" w:color="E5E5E5" w:sz="6" w:space="0"/>
              <w:right w:val="single" w:color="E5E5E5" w:sz="6" w:space="0"/>
            </w:tcBorders>
            <w:tcMar>
              <w:top w:w="0" w:type="dxa"/>
              <w:left w:w="150" w:type="dxa"/>
              <w:bottom w:w="0" w:type="dxa"/>
              <w:right w:w="150" w:type="dxa"/>
            </w:tcMar>
          </w:tcPr>
          <w:p>
            <w:pPr>
              <w:widowControl/>
              <w:spacing w:line="450" w:lineRule="atLeast"/>
              <w:jc w:val="center"/>
              <w:rPr>
                <w:rFonts w:ascii="微软雅黑" w:hAnsi="微软雅黑" w:eastAsia="微软雅黑" w:cs="宋体"/>
                <w:color w:val="33333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微软雅黑" w:hAnsi="微软雅黑" w:eastAsia="微软雅黑" w:cs="宋体"/>
                <w:color w:val="333333"/>
                <w:kern w:val="0"/>
                <w:sz w:val="24"/>
                <w:szCs w:val="24"/>
                <w:highlight w:val="none"/>
              </w:rPr>
              <w:t>考场</w:t>
            </w:r>
          </w:p>
        </w:tc>
        <w:tc>
          <w:tcPr>
            <w:tcW w:w="2759" w:type="dxa"/>
            <w:tcBorders>
              <w:bottom w:val="single" w:color="E5E5E5" w:sz="6" w:space="0"/>
              <w:right w:val="single" w:color="E5E5E5" w:sz="6" w:space="0"/>
            </w:tcBorders>
            <w:tcMar>
              <w:top w:w="0" w:type="dxa"/>
              <w:left w:w="150" w:type="dxa"/>
              <w:bottom w:w="0" w:type="dxa"/>
              <w:right w:w="150" w:type="dxa"/>
            </w:tcMar>
          </w:tcPr>
          <w:p>
            <w:pPr>
              <w:widowControl/>
              <w:spacing w:line="450" w:lineRule="atLeast"/>
              <w:jc w:val="center"/>
              <w:rPr>
                <w:rFonts w:ascii="微软雅黑" w:hAnsi="微软雅黑" w:eastAsia="微软雅黑" w:cs="宋体"/>
                <w:color w:val="33333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微软雅黑" w:hAnsi="微软雅黑" w:eastAsia="微软雅黑" w:cs="宋体"/>
                <w:color w:val="333333"/>
                <w:kern w:val="0"/>
                <w:sz w:val="24"/>
                <w:szCs w:val="24"/>
                <w:highlight w:val="none"/>
              </w:rPr>
              <w:t>考试时间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34" w:type="dxa"/>
            <w:tcBorders>
              <w:bottom w:val="single" w:color="E5E5E5" w:sz="6" w:space="0"/>
              <w:right w:val="single" w:color="E5E5E5" w:sz="6" w:space="0"/>
            </w:tcBorders>
            <w:tcMar>
              <w:top w:w="0" w:type="dxa"/>
              <w:left w:w="150" w:type="dxa"/>
              <w:bottom w:w="0" w:type="dxa"/>
              <w:right w:w="150" w:type="dxa"/>
            </w:tcMar>
          </w:tcPr>
          <w:p>
            <w:pPr>
              <w:widowControl/>
              <w:spacing w:line="450" w:lineRule="atLeast"/>
              <w:jc w:val="center"/>
              <w:rPr>
                <w:rFonts w:ascii="微软雅黑" w:hAnsi="微软雅黑" w:eastAsia="微软雅黑" w:cs="宋体"/>
                <w:color w:val="333333"/>
                <w:kern w:val="0"/>
                <w:szCs w:val="21"/>
                <w:highlight w:val="none"/>
              </w:rPr>
            </w:pPr>
            <w:r>
              <w:rPr>
                <w:rFonts w:hint="eastAsia" w:ascii="微软雅黑" w:hAnsi="微软雅黑" w:eastAsia="微软雅黑" w:cs="宋体"/>
                <w:color w:val="333333"/>
                <w:kern w:val="0"/>
                <w:szCs w:val="21"/>
                <w:highlight w:val="none"/>
              </w:rPr>
              <w:t>日语语言文学</w:t>
            </w:r>
          </w:p>
          <w:p>
            <w:pPr>
              <w:widowControl/>
              <w:spacing w:line="450" w:lineRule="atLeast"/>
              <w:jc w:val="center"/>
              <w:rPr>
                <w:rFonts w:ascii="微软雅黑" w:hAnsi="微软雅黑" w:eastAsia="微软雅黑" w:cs="宋体"/>
                <w:color w:val="333333"/>
                <w:kern w:val="0"/>
                <w:szCs w:val="21"/>
                <w:highlight w:val="none"/>
              </w:rPr>
            </w:pPr>
            <w:r>
              <w:rPr>
                <w:rFonts w:hint="eastAsia" w:ascii="微软雅黑" w:hAnsi="微软雅黑" w:eastAsia="微软雅黑" w:cs="宋体"/>
                <w:color w:val="333333"/>
                <w:kern w:val="0"/>
                <w:szCs w:val="21"/>
                <w:highlight w:val="none"/>
              </w:rPr>
              <w:t>日语笔译</w:t>
            </w:r>
          </w:p>
        </w:tc>
        <w:tc>
          <w:tcPr>
            <w:tcW w:w="1560" w:type="dxa"/>
            <w:tcBorders>
              <w:bottom w:val="single" w:color="E5E5E5" w:sz="6" w:space="0"/>
              <w:right w:val="single" w:color="E5E5E5" w:sz="6" w:space="0"/>
            </w:tcBorders>
            <w:tcMar>
              <w:top w:w="0" w:type="dxa"/>
              <w:left w:w="150" w:type="dxa"/>
              <w:bottom w:w="0" w:type="dxa"/>
              <w:right w:w="150" w:type="dxa"/>
            </w:tcMar>
          </w:tcPr>
          <w:p>
            <w:pPr>
              <w:widowControl/>
              <w:spacing w:line="450" w:lineRule="atLeast"/>
              <w:jc w:val="center"/>
              <w:rPr>
                <w:rFonts w:ascii="微软雅黑" w:hAnsi="微软雅黑" w:eastAsia="微软雅黑" w:cs="宋体"/>
                <w:color w:val="333333"/>
                <w:kern w:val="0"/>
                <w:szCs w:val="21"/>
                <w:highlight w:val="none"/>
              </w:rPr>
            </w:pPr>
            <w:r>
              <w:rPr>
                <w:rFonts w:hint="eastAsia" w:ascii="微软雅黑" w:hAnsi="微软雅黑" w:eastAsia="微软雅黑" w:cs="宋体"/>
                <w:color w:val="333333"/>
                <w:kern w:val="0"/>
                <w:szCs w:val="21"/>
                <w:highlight w:val="none"/>
              </w:rPr>
              <w:t>专业素养考核</w:t>
            </w:r>
          </w:p>
        </w:tc>
        <w:tc>
          <w:tcPr>
            <w:tcW w:w="1984" w:type="dxa"/>
            <w:tcBorders>
              <w:bottom w:val="single" w:color="E5E5E5" w:sz="6" w:space="0"/>
              <w:right w:val="single" w:color="E5E5E5" w:sz="6" w:space="0"/>
            </w:tcBorders>
            <w:tcMar>
              <w:top w:w="0" w:type="dxa"/>
              <w:left w:w="150" w:type="dxa"/>
              <w:bottom w:w="0" w:type="dxa"/>
              <w:right w:w="150" w:type="dxa"/>
            </w:tcMar>
          </w:tcPr>
          <w:p>
            <w:pPr>
              <w:widowControl/>
              <w:spacing w:line="450" w:lineRule="atLeast"/>
              <w:jc w:val="center"/>
              <w:rPr>
                <w:rFonts w:ascii="微软雅黑" w:hAnsi="微软雅黑" w:eastAsia="微软雅黑" w:cs="宋体"/>
                <w:color w:val="333333"/>
                <w:kern w:val="0"/>
                <w:szCs w:val="21"/>
                <w:highlight w:val="none"/>
              </w:rPr>
            </w:pPr>
            <w:r>
              <w:rPr>
                <w:rFonts w:hint="eastAsia" w:ascii="微软雅黑" w:hAnsi="微软雅黑" w:eastAsia="微软雅黑" w:cs="宋体"/>
                <w:color w:val="333333"/>
                <w:kern w:val="0"/>
                <w:szCs w:val="21"/>
                <w:highlight w:val="none"/>
              </w:rPr>
              <w:t>主楼D320</w:t>
            </w:r>
          </w:p>
          <w:p>
            <w:pPr>
              <w:widowControl/>
              <w:spacing w:line="450" w:lineRule="atLeast"/>
              <w:jc w:val="center"/>
              <w:rPr>
                <w:rFonts w:ascii="微软雅黑" w:hAnsi="微软雅黑" w:eastAsia="微软雅黑" w:cs="宋体"/>
                <w:color w:val="333333"/>
                <w:kern w:val="0"/>
                <w:szCs w:val="21"/>
                <w:highlight w:val="none"/>
              </w:rPr>
            </w:pPr>
            <w:r>
              <w:rPr>
                <w:rFonts w:hint="eastAsia" w:ascii="微软雅黑" w:hAnsi="微软雅黑" w:eastAsia="微软雅黑" w:cs="宋体"/>
                <w:color w:val="333333"/>
                <w:kern w:val="0"/>
                <w:szCs w:val="21"/>
                <w:highlight w:val="none"/>
              </w:rPr>
              <w:t>（日语教研室）</w:t>
            </w:r>
          </w:p>
        </w:tc>
        <w:tc>
          <w:tcPr>
            <w:tcW w:w="2759" w:type="dxa"/>
            <w:tcBorders>
              <w:bottom w:val="single" w:color="E5E5E5" w:sz="6" w:space="0"/>
              <w:right w:val="single" w:color="E5E5E5" w:sz="6" w:space="0"/>
            </w:tcBorders>
            <w:tcMar>
              <w:top w:w="0" w:type="dxa"/>
              <w:left w:w="150" w:type="dxa"/>
              <w:bottom w:w="0" w:type="dxa"/>
              <w:right w:w="150" w:type="dxa"/>
            </w:tcMar>
          </w:tcPr>
          <w:p>
            <w:pPr>
              <w:widowControl/>
              <w:spacing w:line="450" w:lineRule="atLeast"/>
              <w:jc w:val="center"/>
              <w:rPr>
                <w:rFonts w:ascii="微软雅黑" w:hAnsi="微软雅黑" w:eastAsia="微软雅黑" w:cs="宋体"/>
                <w:color w:val="333333"/>
                <w:kern w:val="0"/>
                <w:szCs w:val="21"/>
                <w:highlight w:val="none"/>
              </w:rPr>
            </w:pPr>
            <w:r>
              <w:rPr>
                <w:rFonts w:hint="eastAsia"/>
                <w:highlight w:val="none"/>
              </w:rPr>
              <w:t>2018-3-29（周4）13:00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34" w:type="dxa"/>
            <w:tcBorders>
              <w:bottom w:val="single" w:color="E5E5E5" w:sz="6" w:space="0"/>
              <w:right w:val="single" w:color="E5E5E5" w:sz="6" w:space="0"/>
            </w:tcBorders>
            <w:tcMar>
              <w:top w:w="0" w:type="dxa"/>
              <w:left w:w="150" w:type="dxa"/>
              <w:bottom w:w="0" w:type="dxa"/>
              <w:right w:w="150" w:type="dxa"/>
            </w:tcMar>
          </w:tcPr>
          <w:p>
            <w:pPr>
              <w:widowControl/>
              <w:spacing w:line="450" w:lineRule="atLeast"/>
              <w:jc w:val="center"/>
              <w:rPr>
                <w:rFonts w:ascii="微软雅黑" w:hAnsi="微软雅黑" w:eastAsia="微软雅黑" w:cs="宋体"/>
                <w:color w:val="333333"/>
                <w:kern w:val="0"/>
                <w:szCs w:val="21"/>
                <w:highlight w:val="none"/>
              </w:rPr>
            </w:pPr>
            <w:r>
              <w:rPr>
                <w:rFonts w:hint="eastAsia" w:ascii="微软雅黑" w:hAnsi="微软雅黑" w:eastAsia="微软雅黑" w:cs="宋体"/>
                <w:color w:val="333333"/>
                <w:kern w:val="0"/>
                <w:szCs w:val="21"/>
                <w:highlight w:val="none"/>
              </w:rPr>
              <w:t>亚非语言文学</w:t>
            </w:r>
          </w:p>
          <w:p>
            <w:pPr>
              <w:widowControl/>
              <w:spacing w:line="450" w:lineRule="atLeast"/>
              <w:jc w:val="center"/>
              <w:rPr>
                <w:rFonts w:ascii="微软雅黑" w:hAnsi="微软雅黑" w:eastAsia="微软雅黑" w:cs="宋体"/>
                <w:color w:val="333333"/>
                <w:kern w:val="0"/>
                <w:szCs w:val="21"/>
                <w:highlight w:val="none"/>
              </w:rPr>
            </w:pPr>
            <w:r>
              <w:rPr>
                <w:rFonts w:hint="eastAsia" w:ascii="微软雅黑" w:hAnsi="微软雅黑" w:eastAsia="微软雅黑" w:cs="宋体"/>
                <w:color w:val="333333"/>
                <w:kern w:val="0"/>
                <w:szCs w:val="21"/>
                <w:highlight w:val="none"/>
              </w:rPr>
              <w:t>（韩国语）</w:t>
            </w:r>
          </w:p>
        </w:tc>
        <w:tc>
          <w:tcPr>
            <w:tcW w:w="1560" w:type="dxa"/>
            <w:tcBorders>
              <w:bottom w:val="single" w:color="E5E5E5" w:sz="6" w:space="0"/>
              <w:right w:val="single" w:color="E5E5E5" w:sz="6" w:space="0"/>
            </w:tcBorders>
            <w:tcMar>
              <w:top w:w="0" w:type="dxa"/>
              <w:left w:w="150" w:type="dxa"/>
              <w:bottom w:w="0" w:type="dxa"/>
              <w:right w:w="150" w:type="dxa"/>
            </w:tcMar>
          </w:tcPr>
          <w:p>
            <w:pPr>
              <w:widowControl/>
              <w:spacing w:line="450" w:lineRule="atLeast"/>
              <w:jc w:val="center"/>
              <w:rPr>
                <w:rFonts w:ascii="微软雅黑" w:hAnsi="微软雅黑" w:eastAsia="微软雅黑" w:cs="宋体"/>
                <w:color w:val="333333"/>
                <w:kern w:val="0"/>
                <w:szCs w:val="21"/>
                <w:highlight w:val="none"/>
              </w:rPr>
            </w:pPr>
            <w:r>
              <w:rPr>
                <w:rFonts w:hint="eastAsia" w:ascii="微软雅黑" w:hAnsi="微软雅黑" w:eastAsia="微软雅黑" w:cs="宋体"/>
                <w:color w:val="333333"/>
                <w:kern w:val="0"/>
                <w:szCs w:val="21"/>
                <w:highlight w:val="none"/>
              </w:rPr>
              <w:t>专业素养考核</w:t>
            </w:r>
          </w:p>
        </w:tc>
        <w:tc>
          <w:tcPr>
            <w:tcW w:w="1984" w:type="dxa"/>
            <w:tcBorders>
              <w:bottom w:val="single" w:color="E5E5E5" w:sz="6" w:space="0"/>
              <w:right w:val="single" w:color="E5E5E5" w:sz="6" w:space="0"/>
            </w:tcBorders>
            <w:tcMar>
              <w:top w:w="0" w:type="dxa"/>
              <w:left w:w="150" w:type="dxa"/>
              <w:bottom w:w="0" w:type="dxa"/>
              <w:right w:w="150" w:type="dxa"/>
            </w:tcMar>
          </w:tcPr>
          <w:p>
            <w:pPr>
              <w:widowControl/>
              <w:spacing w:line="450" w:lineRule="atLeast"/>
              <w:jc w:val="center"/>
              <w:rPr>
                <w:rFonts w:ascii="微软雅黑" w:hAnsi="微软雅黑" w:eastAsia="微软雅黑" w:cs="宋体"/>
                <w:color w:val="333333"/>
                <w:kern w:val="0"/>
                <w:szCs w:val="21"/>
                <w:highlight w:val="none"/>
              </w:rPr>
            </w:pPr>
            <w:r>
              <w:rPr>
                <w:rFonts w:hint="eastAsia" w:ascii="微软雅黑" w:hAnsi="微软雅黑" w:eastAsia="微软雅黑" w:cs="宋体"/>
                <w:color w:val="333333"/>
                <w:kern w:val="0"/>
                <w:szCs w:val="21"/>
                <w:highlight w:val="none"/>
              </w:rPr>
              <w:t>主楼D322</w:t>
            </w:r>
          </w:p>
          <w:p>
            <w:pPr>
              <w:widowControl/>
              <w:spacing w:line="450" w:lineRule="atLeast"/>
              <w:jc w:val="center"/>
              <w:rPr>
                <w:rFonts w:ascii="微软雅黑" w:hAnsi="微软雅黑" w:eastAsia="微软雅黑" w:cs="宋体"/>
                <w:color w:val="333333"/>
                <w:kern w:val="0"/>
                <w:szCs w:val="21"/>
                <w:highlight w:val="none"/>
              </w:rPr>
            </w:pPr>
            <w:r>
              <w:rPr>
                <w:rFonts w:hint="eastAsia" w:ascii="微软雅黑" w:hAnsi="微软雅黑" w:eastAsia="微软雅黑" w:cs="宋体"/>
                <w:color w:val="333333"/>
                <w:kern w:val="0"/>
                <w:szCs w:val="21"/>
                <w:highlight w:val="none"/>
              </w:rPr>
              <w:t>（韩语教研室）</w:t>
            </w:r>
          </w:p>
        </w:tc>
        <w:tc>
          <w:tcPr>
            <w:tcW w:w="2759" w:type="dxa"/>
            <w:tcBorders>
              <w:bottom w:val="single" w:color="E5E5E5" w:sz="6" w:space="0"/>
              <w:right w:val="single" w:color="E5E5E5" w:sz="6" w:space="0"/>
            </w:tcBorders>
            <w:tcMar>
              <w:top w:w="0" w:type="dxa"/>
              <w:left w:w="150" w:type="dxa"/>
              <w:bottom w:w="0" w:type="dxa"/>
              <w:right w:w="150" w:type="dxa"/>
            </w:tcMar>
          </w:tcPr>
          <w:p>
            <w:pPr>
              <w:widowControl/>
              <w:spacing w:line="450" w:lineRule="atLeast"/>
              <w:jc w:val="center"/>
              <w:rPr>
                <w:rFonts w:ascii="微软雅黑" w:hAnsi="微软雅黑" w:eastAsia="微软雅黑" w:cs="宋体"/>
                <w:color w:val="333333"/>
                <w:kern w:val="0"/>
                <w:szCs w:val="21"/>
                <w:highlight w:val="none"/>
              </w:rPr>
            </w:pPr>
            <w:r>
              <w:rPr>
                <w:rFonts w:hint="eastAsia"/>
                <w:highlight w:val="none"/>
              </w:rPr>
              <w:t>2018-3-29（周4）13:00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34" w:type="dxa"/>
            <w:tcBorders>
              <w:bottom w:val="single" w:color="E5E5E5" w:sz="6" w:space="0"/>
              <w:right w:val="single" w:color="E5E5E5" w:sz="6" w:space="0"/>
            </w:tcBorders>
            <w:tcMar>
              <w:top w:w="0" w:type="dxa"/>
              <w:left w:w="150" w:type="dxa"/>
              <w:bottom w:w="0" w:type="dxa"/>
              <w:right w:w="150" w:type="dxa"/>
            </w:tcMar>
          </w:tcPr>
          <w:p>
            <w:pPr>
              <w:widowControl/>
              <w:spacing w:line="450" w:lineRule="atLeast"/>
              <w:jc w:val="center"/>
              <w:rPr>
                <w:rFonts w:ascii="微软雅黑" w:hAnsi="微软雅黑" w:eastAsia="微软雅黑" w:cs="宋体"/>
                <w:color w:val="333333"/>
                <w:kern w:val="0"/>
                <w:szCs w:val="21"/>
                <w:highlight w:val="none"/>
              </w:rPr>
            </w:pPr>
            <w:r>
              <w:rPr>
                <w:rFonts w:hint="eastAsia" w:ascii="微软雅黑" w:hAnsi="微软雅黑" w:eastAsia="微软雅黑" w:cs="宋体"/>
                <w:color w:val="333333"/>
                <w:kern w:val="0"/>
                <w:szCs w:val="21"/>
                <w:highlight w:val="none"/>
              </w:rPr>
              <w:t>日语语言文学</w:t>
            </w:r>
          </w:p>
          <w:p>
            <w:pPr>
              <w:widowControl/>
              <w:spacing w:line="450" w:lineRule="atLeast"/>
              <w:jc w:val="center"/>
              <w:rPr>
                <w:rFonts w:ascii="微软雅黑" w:hAnsi="微软雅黑" w:eastAsia="微软雅黑" w:cs="宋体"/>
                <w:color w:val="333333"/>
                <w:kern w:val="0"/>
                <w:szCs w:val="21"/>
                <w:highlight w:val="none"/>
              </w:rPr>
            </w:pPr>
            <w:r>
              <w:rPr>
                <w:rFonts w:hint="eastAsia" w:ascii="微软雅黑" w:hAnsi="微软雅黑" w:eastAsia="微软雅黑" w:cs="宋体"/>
                <w:color w:val="333333"/>
                <w:kern w:val="0"/>
                <w:szCs w:val="21"/>
                <w:highlight w:val="none"/>
              </w:rPr>
              <w:t>日语笔译</w:t>
            </w:r>
          </w:p>
          <w:p>
            <w:pPr>
              <w:widowControl/>
              <w:spacing w:line="450" w:lineRule="atLeast"/>
              <w:jc w:val="center"/>
              <w:rPr>
                <w:rFonts w:ascii="微软雅黑" w:hAnsi="微软雅黑" w:eastAsia="微软雅黑" w:cs="宋体"/>
                <w:color w:val="333333"/>
                <w:kern w:val="0"/>
                <w:szCs w:val="21"/>
                <w:highlight w:val="none"/>
              </w:rPr>
            </w:pPr>
            <w:r>
              <w:rPr>
                <w:rFonts w:hint="eastAsia" w:ascii="微软雅黑" w:hAnsi="微软雅黑" w:eastAsia="微软雅黑" w:cs="宋体"/>
                <w:color w:val="333333"/>
                <w:kern w:val="0"/>
                <w:szCs w:val="21"/>
                <w:highlight w:val="none"/>
              </w:rPr>
              <w:t>亚非语言文学</w:t>
            </w:r>
          </w:p>
        </w:tc>
        <w:tc>
          <w:tcPr>
            <w:tcW w:w="1560" w:type="dxa"/>
            <w:tcBorders>
              <w:bottom w:val="single" w:color="E5E5E5" w:sz="6" w:space="0"/>
              <w:right w:val="single" w:color="E5E5E5" w:sz="6" w:space="0"/>
            </w:tcBorders>
            <w:tcMar>
              <w:top w:w="0" w:type="dxa"/>
              <w:left w:w="150" w:type="dxa"/>
              <w:bottom w:w="0" w:type="dxa"/>
              <w:right w:w="150" w:type="dxa"/>
            </w:tcMar>
          </w:tcPr>
          <w:p>
            <w:pPr>
              <w:widowControl/>
              <w:spacing w:line="450" w:lineRule="atLeast"/>
              <w:jc w:val="center"/>
              <w:rPr>
                <w:rFonts w:ascii="微软雅黑" w:hAnsi="微软雅黑" w:eastAsia="微软雅黑" w:cs="宋体"/>
                <w:color w:val="333333"/>
                <w:kern w:val="0"/>
                <w:szCs w:val="21"/>
                <w:highlight w:val="none"/>
              </w:rPr>
            </w:pPr>
            <w:r>
              <w:rPr>
                <w:rFonts w:hint="eastAsia" w:ascii="微软雅黑" w:hAnsi="微软雅黑" w:eastAsia="微软雅黑" w:cs="宋体"/>
                <w:color w:val="333333"/>
                <w:kern w:val="0"/>
                <w:szCs w:val="21"/>
                <w:highlight w:val="none"/>
              </w:rPr>
              <w:t>外语能力测试</w:t>
            </w:r>
          </w:p>
        </w:tc>
        <w:tc>
          <w:tcPr>
            <w:tcW w:w="1984" w:type="dxa"/>
            <w:tcBorders>
              <w:bottom w:val="single" w:color="E5E5E5" w:sz="6" w:space="0"/>
              <w:right w:val="single" w:color="E5E5E5" w:sz="6" w:space="0"/>
            </w:tcBorders>
            <w:tcMar>
              <w:top w:w="0" w:type="dxa"/>
              <w:left w:w="150" w:type="dxa"/>
              <w:bottom w:w="0" w:type="dxa"/>
              <w:right w:w="150" w:type="dxa"/>
            </w:tcMar>
          </w:tcPr>
          <w:p>
            <w:pPr>
              <w:widowControl/>
              <w:spacing w:line="450" w:lineRule="atLeast"/>
              <w:jc w:val="center"/>
              <w:rPr>
                <w:rFonts w:ascii="微软雅黑" w:hAnsi="微软雅黑" w:eastAsia="微软雅黑" w:cs="宋体"/>
                <w:color w:val="333333"/>
                <w:kern w:val="0"/>
                <w:szCs w:val="21"/>
                <w:highlight w:val="none"/>
              </w:rPr>
            </w:pPr>
            <w:r>
              <w:rPr>
                <w:rFonts w:hint="eastAsia" w:ascii="微软雅黑" w:hAnsi="微软雅黑" w:eastAsia="微软雅黑" w:cs="宋体"/>
                <w:color w:val="333333"/>
                <w:kern w:val="0"/>
                <w:szCs w:val="21"/>
                <w:highlight w:val="none"/>
              </w:rPr>
              <w:t>主楼D326</w:t>
            </w:r>
          </w:p>
          <w:p>
            <w:pPr>
              <w:widowControl/>
              <w:spacing w:line="450" w:lineRule="atLeast"/>
              <w:jc w:val="center"/>
              <w:rPr>
                <w:rFonts w:ascii="微软雅黑" w:hAnsi="微软雅黑" w:eastAsia="微软雅黑" w:cs="宋体"/>
                <w:color w:val="333333"/>
                <w:kern w:val="0"/>
                <w:szCs w:val="21"/>
                <w:highlight w:val="none"/>
              </w:rPr>
            </w:pPr>
            <w:r>
              <w:rPr>
                <w:rFonts w:hint="eastAsia" w:ascii="微软雅黑" w:hAnsi="微软雅黑" w:eastAsia="微软雅黑" w:cs="宋体"/>
                <w:color w:val="333333"/>
                <w:kern w:val="0"/>
                <w:szCs w:val="21"/>
                <w:highlight w:val="none"/>
              </w:rPr>
              <w:t>（中日交流之窗）</w:t>
            </w:r>
          </w:p>
        </w:tc>
        <w:tc>
          <w:tcPr>
            <w:tcW w:w="2759" w:type="dxa"/>
            <w:tcBorders>
              <w:bottom w:val="single" w:color="E5E5E5" w:sz="6" w:space="0"/>
              <w:right w:val="single" w:color="E5E5E5" w:sz="6" w:space="0"/>
            </w:tcBorders>
            <w:tcMar>
              <w:top w:w="0" w:type="dxa"/>
              <w:left w:w="150" w:type="dxa"/>
              <w:bottom w:w="0" w:type="dxa"/>
              <w:right w:w="150" w:type="dxa"/>
            </w:tcMar>
          </w:tcPr>
          <w:p>
            <w:pPr>
              <w:widowControl/>
              <w:spacing w:line="450" w:lineRule="atLeast"/>
              <w:jc w:val="center"/>
              <w:rPr>
                <w:rFonts w:ascii="微软雅黑" w:hAnsi="微软雅黑" w:eastAsia="微软雅黑" w:cs="宋体"/>
                <w:color w:val="333333"/>
                <w:kern w:val="0"/>
                <w:szCs w:val="21"/>
                <w:highlight w:val="none"/>
              </w:rPr>
            </w:pPr>
            <w:r>
              <w:rPr>
                <w:rFonts w:hint="eastAsia"/>
                <w:highlight w:val="none"/>
              </w:rPr>
              <w:t>2018-3-29（周4）13:00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34" w:type="dxa"/>
            <w:tcBorders>
              <w:left w:val="single" w:color="DDDDDD" w:sz="6" w:space="0"/>
              <w:bottom w:val="single" w:color="E5E5E5" w:sz="6" w:space="0"/>
              <w:right w:val="single" w:color="E5E5E5" w:sz="6" w:space="0"/>
            </w:tcBorders>
            <w:tcMar>
              <w:top w:w="0" w:type="dxa"/>
              <w:left w:w="150" w:type="dxa"/>
              <w:bottom w:w="0" w:type="dxa"/>
              <w:right w:w="150" w:type="dxa"/>
            </w:tcMar>
          </w:tcPr>
          <w:p>
            <w:pPr>
              <w:widowControl/>
              <w:spacing w:line="450" w:lineRule="atLeast"/>
              <w:jc w:val="center"/>
              <w:rPr>
                <w:rFonts w:ascii="微软雅黑" w:hAnsi="微软雅黑" w:eastAsia="微软雅黑" w:cs="宋体"/>
                <w:color w:val="333333"/>
                <w:kern w:val="0"/>
                <w:szCs w:val="21"/>
                <w:highlight w:val="none"/>
              </w:rPr>
            </w:pPr>
            <w:r>
              <w:rPr>
                <w:rFonts w:hint="eastAsia" w:ascii="微软雅黑" w:hAnsi="微软雅黑" w:eastAsia="微软雅黑" w:cs="宋体"/>
                <w:color w:val="333333"/>
                <w:kern w:val="0"/>
                <w:szCs w:val="21"/>
                <w:highlight w:val="none"/>
              </w:rPr>
              <w:t>日语语言文学</w:t>
            </w:r>
          </w:p>
          <w:p>
            <w:pPr>
              <w:widowControl/>
              <w:spacing w:line="450" w:lineRule="atLeast"/>
              <w:jc w:val="center"/>
              <w:rPr>
                <w:rFonts w:ascii="微软雅黑" w:hAnsi="微软雅黑" w:eastAsia="微软雅黑" w:cs="宋体"/>
                <w:color w:val="333333"/>
                <w:kern w:val="0"/>
                <w:szCs w:val="21"/>
                <w:highlight w:val="none"/>
              </w:rPr>
            </w:pPr>
            <w:r>
              <w:rPr>
                <w:rFonts w:hint="eastAsia" w:ascii="微软雅黑" w:hAnsi="微软雅黑" w:eastAsia="微软雅黑" w:cs="宋体"/>
                <w:color w:val="333333"/>
                <w:kern w:val="0"/>
                <w:szCs w:val="21"/>
                <w:highlight w:val="none"/>
              </w:rPr>
              <w:t>日语笔译</w:t>
            </w:r>
          </w:p>
          <w:p>
            <w:pPr>
              <w:widowControl/>
              <w:spacing w:line="450" w:lineRule="atLeast"/>
              <w:jc w:val="center"/>
              <w:rPr>
                <w:rFonts w:ascii="微软雅黑" w:hAnsi="微软雅黑" w:eastAsia="微软雅黑" w:cs="宋体"/>
                <w:color w:val="333333"/>
                <w:kern w:val="0"/>
                <w:szCs w:val="21"/>
                <w:highlight w:val="none"/>
              </w:rPr>
            </w:pPr>
            <w:r>
              <w:rPr>
                <w:rFonts w:hint="eastAsia" w:ascii="微软雅黑" w:hAnsi="微软雅黑" w:eastAsia="微软雅黑" w:cs="宋体"/>
                <w:color w:val="333333"/>
                <w:kern w:val="0"/>
                <w:szCs w:val="21"/>
                <w:highlight w:val="none"/>
              </w:rPr>
              <w:t>亚非语言文学</w:t>
            </w:r>
          </w:p>
        </w:tc>
        <w:tc>
          <w:tcPr>
            <w:tcW w:w="1560" w:type="dxa"/>
            <w:tcBorders>
              <w:bottom w:val="single" w:color="E5E5E5" w:sz="6" w:space="0"/>
              <w:right w:val="single" w:color="E5E5E5" w:sz="6" w:space="0"/>
            </w:tcBorders>
            <w:tcMar>
              <w:top w:w="0" w:type="dxa"/>
              <w:left w:w="150" w:type="dxa"/>
              <w:bottom w:w="0" w:type="dxa"/>
              <w:right w:w="150" w:type="dxa"/>
            </w:tcMar>
          </w:tcPr>
          <w:p>
            <w:pPr>
              <w:widowControl/>
              <w:spacing w:line="450" w:lineRule="atLeast"/>
              <w:jc w:val="center"/>
              <w:rPr>
                <w:rFonts w:ascii="微软雅黑" w:hAnsi="微软雅黑" w:eastAsia="微软雅黑" w:cs="宋体"/>
                <w:color w:val="333333"/>
                <w:kern w:val="0"/>
                <w:szCs w:val="21"/>
                <w:highlight w:val="none"/>
              </w:rPr>
            </w:pPr>
            <w:r>
              <w:rPr>
                <w:rFonts w:hint="eastAsia" w:ascii="微软雅黑" w:hAnsi="微软雅黑" w:eastAsia="微软雅黑" w:cs="宋体"/>
                <w:color w:val="333333"/>
                <w:kern w:val="0"/>
                <w:szCs w:val="21"/>
                <w:highlight w:val="none"/>
              </w:rPr>
              <w:t>思想政治考核</w:t>
            </w:r>
          </w:p>
        </w:tc>
        <w:tc>
          <w:tcPr>
            <w:tcW w:w="1984" w:type="dxa"/>
            <w:tcBorders>
              <w:bottom w:val="single" w:color="E5E5E5" w:sz="6" w:space="0"/>
              <w:right w:val="single" w:color="E5E5E5" w:sz="6" w:space="0"/>
            </w:tcBorders>
            <w:tcMar>
              <w:top w:w="0" w:type="dxa"/>
              <w:left w:w="150" w:type="dxa"/>
              <w:bottom w:w="0" w:type="dxa"/>
              <w:right w:w="150" w:type="dxa"/>
            </w:tcMar>
          </w:tcPr>
          <w:p>
            <w:pPr>
              <w:widowControl/>
              <w:spacing w:line="450" w:lineRule="atLeast"/>
              <w:jc w:val="center"/>
              <w:rPr>
                <w:rFonts w:ascii="微软雅黑" w:hAnsi="微软雅黑" w:eastAsia="微软雅黑" w:cs="宋体"/>
                <w:color w:val="333333"/>
                <w:kern w:val="0"/>
                <w:szCs w:val="21"/>
                <w:highlight w:val="none"/>
              </w:rPr>
            </w:pPr>
            <w:r>
              <w:rPr>
                <w:rFonts w:hint="eastAsia" w:ascii="微软雅黑" w:hAnsi="微软雅黑" w:eastAsia="微软雅黑" w:cs="宋体"/>
                <w:color w:val="333333"/>
                <w:kern w:val="0"/>
                <w:szCs w:val="21"/>
                <w:highlight w:val="none"/>
              </w:rPr>
              <w:t>主楼D320</w:t>
            </w:r>
          </w:p>
          <w:p>
            <w:pPr>
              <w:widowControl/>
              <w:spacing w:line="450" w:lineRule="atLeast"/>
              <w:jc w:val="center"/>
              <w:rPr>
                <w:rFonts w:ascii="微软雅黑" w:hAnsi="微软雅黑" w:eastAsia="微软雅黑" w:cs="宋体"/>
                <w:color w:val="333333"/>
                <w:kern w:val="0"/>
                <w:szCs w:val="21"/>
                <w:highlight w:val="none"/>
              </w:rPr>
            </w:pPr>
            <w:r>
              <w:rPr>
                <w:rFonts w:hint="eastAsia" w:ascii="微软雅黑" w:hAnsi="微软雅黑" w:eastAsia="微软雅黑" w:cs="宋体"/>
                <w:color w:val="333333"/>
                <w:kern w:val="0"/>
                <w:szCs w:val="21"/>
                <w:highlight w:val="none"/>
              </w:rPr>
              <w:t>主楼D320</w:t>
            </w:r>
          </w:p>
          <w:p>
            <w:pPr>
              <w:widowControl/>
              <w:spacing w:line="450" w:lineRule="atLeast"/>
              <w:jc w:val="center"/>
              <w:rPr>
                <w:rFonts w:ascii="微软雅黑" w:hAnsi="微软雅黑" w:eastAsia="微软雅黑" w:cs="宋体"/>
                <w:color w:val="333333"/>
                <w:kern w:val="0"/>
                <w:szCs w:val="21"/>
                <w:highlight w:val="none"/>
              </w:rPr>
            </w:pPr>
            <w:r>
              <w:rPr>
                <w:rFonts w:hint="eastAsia" w:ascii="微软雅黑" w:hAnsi="微软雅黑" w:eastAsia="微软雅黑" w:cs="宋体"/>
                <w:color w:val="333333"/>
                <w:kern w:val="0"/>
                <w:szCs w:val="21"/>
                <w:highlight w:val="none"/>
              </w:rPr>
              <w:t>主楼D322</w:t>
            </w:r>
          </w:p>
        </w:tc>
        <w:tc>
          <w:tcPr>
            <w:tcW w:w="2759" w:type="dxa"/>
            <w:tcBorders>
              <w:bottom w:val="single" w:color="E5E5E5" w:sz="6" w:space="0"/>
              <w:right w:val="single" w:color="E5E5E5" w:sz="6" w:space="0"/>
            </w:tcBorders>
            <w:tcMar>
              <w:top w:w="0" w:type="dxa"/>
              <w:left w:w="150" w:type="dxa"/>
              <w:bottom w:w="0" w:type="dxa"/>
              <w:right w:w="150" w:type="dxa"/>
            </w:tcMar>
          </w:tcPr>
          <w:p>
            <w:pPr>
              <w:widowControl/>
              <w:spacing w:line="450" w:lineRule="atLeast"/>
              <w:jc w:val="center"/>
              <w:rPr>
                <w:rFonts w:ascii="微软雅黑" w:hAnsi="微软雅黑" w:eastAsia="微软雅黑" w:cs="宋体"/>
                <w:color w:val="333333"/>
                <w:kern w:val="0"/>
                <w:szCs w:val="21"/>
                <w:highlight w:val="none"/>
              </w:rPr>
            </w:pPr>
            <w:r>
              <w:rPr>
                <w:rFonts w:hint="eastAsia"/>
                <w:highlight w:val="none"/>
              </w:rPr>
              <w:t>2018-3-29（周4）13:00</w:t>
            </w:r>
          </w:p>
        </w:tc>
      </w:tr>
    </w:tbl>
    <w:p>
      <w:pPr>
        <w:spacing w:line="276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学生候考地点：主楼D321（东语学院会议室）</w:t>
      </w:r>
    </w:p>
    <w:p>
      <w:pPr>
        <w:spacing w:line="276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第一次调剂复试结束后，学院将根据实际情况适时公布是否继续进行调剂工作，请调剂考生关注相关网站。</w:t>
      </w:r>
    </w:p>
    <w:p>
      <w:pPr>
        <w:spacing w:line="276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五、复试工作联系人及电话</w:t>
      </w:r>
    </w:p>
    <w:p>
      <w:pPr>
        <w:spacing w:line="276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姓  名：李贵鑫</w:t>
      </w:r>
    </w:p>
    <w:p>
      <w:pPr>
        <w:spacing w:line="276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联系方式（办）：8660</w:t>
      </w:r>
      <w:r>
        <w:rPr>
          <w:rFonts w:hint="eastAsia"/>
          <w:sz w:val="24"/>
          <w:szCs w:val="24"/>
          <w:lang w:val="en-US" w:eastAsia="zh-CN"/>
        </w:rPr>
        <w:t>4113</w:t>
      </w:r>
    </w:p>
    <w:p>
      <w:pPr>
        <w:spacing w:line="276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联系方式（手）：15204664899</w:t>
      </w:r>
    </w:p>
    <w:p>
      <w:pPr>
        <w:spacing w:line="276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六、本细则未明确事宜遵照学校复试方案执行。</w:t>
      </w:r>
    </w:p>
    <w:p>
      <w:pPr>
        <w:spacing w:line="276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七、本细则由黑龙江大学东语学院负责解释。</w:t>
      </w:r>
    </w:p>
    <w:p>
      <w:pPr>
        <w:spacing w:line="276" w:lineRule="auto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黑龙江大学东语学院</w:t>
      </w:r>
    </w:p>
    <w:p>
      <w:pPr>
        <w:spacing w:line="276" w:lineRule="auto"/>
        <w:jc w:val="right"/>
        <w:rPr>
          <w:sz w:val="24"/>
          <w:szCs w:val="24"/>
        </w:rPr>
      </w:pPr>
      <w:bookmarkStart w:id="0" w:name="_GoBack"/>
      <w:bookmarkEnd w:id="0"/>
      <w:r>
        <w:rPr>
          <w:rFonts w:hint="eastAsia"/>
          <w:sz w:val="24"/>
          <w:szCs w:val="24"/>
        </w:rPr>
        <w:t xml:space="preserve">    2018年3月24日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E43"/>
    <w:rsid w:val="00061C46"/>
    <w:rsid w:val="000653FF"/>
    <w:rsid w:val="000733AB"/>
    <w:rsid w:val="00096972"/>
    <w:rsid w:val="000A0E7F"/>
    <w:rsid w:val="000E483A"/>
    <w:rsid w:val="001352B1"/>
    <w:rsid w:val="00172A19"/>
    <w:rsid w:val="001B3144"/>
    <w:rsid w:val="00277CDF"/>
    <w:rsid w:val="00281A96"/>
    <w:rsid w:val="002C396E"/>
    <w:rsid w:val="002D3FB1"/>
    <w:rsid w:val="002D5A65"/>
    <w:rsid w:val="002F6DBC"/>
    <w:rsid w:val="00373CBB"/>
    <w:rsid w:val="003E3E43"/>
    <w:rsid w:val="004B24A6"/>
    <w:rsid w:val="004D6A37"/>
    <w:rsid w:val="00570AA7"/>
    <w:rsid w:val="0057225F"/>
    <w:rsid w:val="00590322"/>
    <w:rsid w:val="0059680A"/>
    <w:rsid w:val="005E6EDD"/>
    <w:rsid w:val="00603339"/>
    <w:rsid w:val="00610CF4"/>
    <w:rsid w:val="00682696"/>
    <w:rsid w:val="00704451"/>
    <w:rsid w:val="0071601A"/>
    <w:rsid w:val="00716F3C"/>
    <w:rsid w:val="00733B34"/>
    <w:rsid w:val="00773FCE"/>
    <w:rsid w:val="0078058E"/>
    <w:rsid w:val="00790E3D"/>
    <w:rsid w:val="00816CB7"/>
    <w:rsid w:val="008E79B6"/>
    <w:rsid w:val="0096437B"/>
    <w:rsid w:val="0098734F"/>
    <w:rsid w:val="009C7DD0"/>
    <w:rsid w:val="00A02659"/>
    <w:rsid w:val="00A02694"/>
    <w:rsid w:val="00AA58C7"/>
    <w:rsid w:val="00AC566F"/>
    <w:rsid w:val="00B253FD"/>
    <w:rsid w:val="00B37BC1"/>
    <w:rsid w:val="00BE5759"/>
    <w:rsid w:val="00C56C15"/>
    <w:rsid w:val="00C842EA"/>
    <w:rsid w:val="00D161E6"/>
    <w:rsid w:val="00D16696"/>
    <w:rsid w:val="00D741FD"/>
    <w:rsid w:val="00EB6929"/>
    <w:rsid w:val="00EE02C2"/>
    <w:rsid w:val="00F765D7"/>
    <w:rsid w:val="00FA42C9"/>
    <w:rsid w:val="00FE0A84"/>
    <w:rsid w:val="00FE405A"/>
    <w:rsid w:val="00FE65D1"/>
    <w:rsid w:val="00FF49DE"/>
    <w:rsid w:val="0DC73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5117524-1126-4E3A-A4E9-74CE02A87F8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201</Words>
  <Characters>1147</Characters>
  <Lines>9</Lines>
  <Paragraphs>2</Paragraphs>
  <TotalTime>0</TotalTime>
  <ScaleCrop>false</ScaleCrop>
  <LinksUpToDate>false</LinksUpToDate>
  <CharactersWithSpaces>1346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2017-03-18T13:59:00Z</dcterms:created>
  <dc:creator>zzg</dc:creator>
  <cp:lastModifiedBy>Administrator</cp:lastModifiedBy>
  <dcterms:modified xsi:type="dcterms:W3CDTF">2018-03-26T10:06:27Z</dcterms:modified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